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281DC61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8537CA">
        <w:rPr>
          <w:rFonts w:ascii="ENRESA Aroma Light" w:hAnsi="ENRESA Aroma Light" w:cs="Arial"/>
          <w:szCs w:val="22"/>
          <w:lang w:val="es-ES"/>
        </w:rPr>
        <w:t xml:space="preserve">que </w:t>
      </w:r>
      <w:r w:rsidR="008537CA" w:rsidRPr="008537CA">
        <w:rPr>
          <w:rFonts w:ascii="ENRESA Aroma Light" w:hAnsi="ENRESA Aroma Light" w:cs="Arial"/>
          <w:szCs w:val="22"/>
          <w:lang w:val="es-ES"/>
        </w:rPr>
        <w:t>se compromete a las siguientes condiciones</w:t>
      </w:r>
      <w:r w:rsidR="008537CA">
        <w:rPr>
          <w:rFonts w:ascii="ENRESA Aroma Light" w:hAnsi="ENRESA Aroma Light" w:cs="Arial"/>
          <w:szCs w:val="22"/>
          <w:lang w:val="es-ES"/>
        </w:rPr>
        <w:t>:</w:t>
      </w:r>
    </w:p>
    <w:p w14:paraId="3A8C364C" w14:textId="77777777" w:rsidR="003F47BF" w:rsidRPr="009C5974" w:rsidRDefault="003F47BF" w:rsidP="003F47BF">
      <w:pPr>
        <w:shd w:val="clear" w:color="auto" w:fill="FFFFFF"/>
        <w:spacing w:before="120" w:line="280" w:lineRule="exact"/>
        <w:ind w:hanging="567"/>
        <w:jc w:val="center"/>
        <w:rPr>
          <w:rFonts w:ascii="ENRESA Aroma Light" w:hAnsi="ENRESA Aroma Light"/>
          <w:b/>
          <w:sz w:val="18"/>
          <w:szCs w:val="18"/>
          <w:u w:val="single"/>
        </w:rPr>
      </w:pPr>
      <w:r>
        <w:rPr>
          <w:rFonts w:ascii="ENRESA Aroma Light" w:hAnsi="ENRESA Aroma Light"/>
          <w:b/>
          <w:sz w:val="18"/>
          <w:szCs w:val="18"/>
          <w:u w:val="single"/>
        </w:rPr>
        <w:t>DESCRIPCIÓN DE GARANTÍAS</w:t>
      </w: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418"/>
        <w:gridCol w:w="1508"/>
      </w:tblGrid>
      <w:tr w:rsidR="007D6358" w:rsidRPr="00494121" w14:paraId="73C99514" w14:textId="77777777" w:rsidTr="006D2717">
        <w:trPr>
          <w:trHeight w:val="419"/>
          <w:tblHeader/>
          <w:jc w:val="center"/>
        </w:trPr>
        <w:tc>
          <w:tcPr>
            <w:tcW w:w="6804" w:type="dxa"/>
            <w:tcBorders>
              <w:bottom w:val="single" w:sz="4" w:space="0" w:color="auto"/>
            </w:tcBorders>
            <w:noWrap/>
            <w:vAlign w:val="center"/>
          </w:tcPr>
          <w:p w14:paraId="5455C0CC" w14:textId="77777777" w:rsidR="007D6358" w:rsidRPr="00494121" w:rsidRDefault="007D6358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>
              <w:rPr>
                <w:rFonts w:ascii="ENRESA Aroma Light" w:eastAsia="Calibri" w:hAnsi="ENRESA Aroma Light"/>
                <w:b/>
                <w:bCs/>
                <w:sz w:val="18"/>
              </w:rPr>
              <w:t>Descripción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8D243B3" w14:textId="77777777" w:rsidR="007D6358" w:rsidRPr="00494121" w:rsidRDefault="007D6358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>
              <w:rPr>
                <w:rFonts w:ascii="ENRESA Aroma Light" w:eastAsia="Calibri" w:hAnsi="ENRESA Aroma Light"/>
                <w:b/>
                <w:bCs/>
                <w:sz w:val="18"/>
              </w:rPr>
              <w:t>Importe</w:t>
            </w:r>
            <w:r w:rsidRPr="00494121">
              <w:rPr>
                <w:rFonts w:ascii="ENRESA Aroma Light" w:eastAsia="Calibri" w:hAnsi="ENRESA Aroma Light"/>
                <w:b/>
                <w:bCs/>
                <w:sz w:val="18"/>
              </w:rPr>
              <w:t xml:space="preserve"> establecido</w:t>
            </w:r>
            <w:r>
              <w:rPr>
                <w:rFonts w:ascii="ENRESA Aroma Light" w:eastAsia="Calibri" w:hAnsi="ENRESA Aroma Light"/>
                <w:b/>
                <w:bCs/>
                <w:sz w:val="18"/>
              </w:rPr>
              <w:t xml:space="preserve"> (€)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357C11F4" w14:textId="77777777" w:rsidR="007D6358" w:rsidRPr="00494121" w:rsidRDefault="007D6358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 w:rsidRPr="00E077E4">
              <w:rPr>
                <w:rFonts w:ascii="ENRESA Aroma Light" w:eastAsia="Calibri" w:hAnsi="ENRESA Aroma Light"/>
                <w:b/>
                <w:bCs/>
                <w:szCs w:val="22"/>
                <w:u w:val="single"/>
              </w:rPr>
              <w:t>Incremento</w:t>
            </w:r>
            <w:r w:rsidRPr="00494121">
              <w:rPr>
                <w:rFonts w:ascii="ENRESA Aroma Light" w:eastAsia="Calibri" w:hAnsi="ENRESA Aroma Light"/>
                <w:b/>
                <w:bCs/>
                <w:sz w:val="18"/>
              </w:rPr>
              <w:t xml:space="preserve"> respecto al </w:t>
            </w:r>
            <w:r>
              <w:rPr>
                <w:rFonts w:ascii="ENRESA Aroma Light" w:eastAsia="Calibri" w:hAnsi="ENRESA Aroma Light"/>
                <w:b/>
                <w:bCs/>
                <w:sz w:val="18"/>
              </w:rPr>
              <w:t>importe</w:t>
            </w:r>
            <w:r w:rsidRPr="00494121">
              <w:rPr>
                <w:rFonts w:ascii="ENRESA Aroma Light" w:eastAsia="Calibri" w:hAnsi="ENRESA Aroma Light"/>
                <w:b/>
                <w:bCs/>
                <w:sz w:val="18"/>
              </w:rPr>
              <w:t xml:space="preserve"> establecido</w:t>
            </w:r>
            <w:r>
              <w:rPr>
                <w:rFonts w:ascii="ENRESA Aroma Light" w:eastAsia="Calibri" w:hAnsi="ENRESA Aroma Light"/>
                <w:b/>
                <w:bCs/>
                <w:sz w:val="18"/>
              </w:rPr>
              <w:t xml:space="preserve"> (€) </w:t>
            </w:r>
            <w:r w:rsidRPr="00231C84">
              <w:rPr>
                <w:rFonts w:ascii="ENRESA Aroma Light" w:eastAsia="Calibri" w:hAnsi="ENRESA Aroma Light"/>
                <w:b/>
                <w:bCs/>
                <w:sz w:val="18"/>
              </w:rPr>
              <w:t>*</w:t>
            </w:r>
          </w:p>
        </w:tc>
      </w:tr>
      <w:tr w:rsidR="007D6358" w:rsidRPr="007C2CB4" w14:paraId="012D5F18" w14:textId="77777777" w:rsidTr="006D2717">
        <w:trPr>
          <w:trHeight w:val="208"/>
          <w:tblHeader/>
          <w:jc w:val="center"/>
        </w:trPr>
        <w:tc>
          <w:tcPr>
            <w:tcW w:w="6804" w:type="dxa"/>
            <w:tcBorders>
              <w:right w:val="nil"/>
            </w:tcBorders>
            <w:noWrap/>
            <w:vAlign w:val="center"/>
          </w:tcPr>
          <w:p w14:paraId="17691F7F" w14:textId="77777777" w:rsidR="007D6358" w:rsidRPr="007C2CB4" w:rsidRDefault="007D6358" w:rsidP="006D2717">
            <w:pPr>
              <w:autoSpaceDE w:val="0"/>
              <w:autoSpaceDN w:val="0"/>
              <w:adjustRightInd w:val="0"/>
              <w:contextualSpacing/>
              <w:rPr>
                <w:rFonts w:ascii="ENRESA Aroma Light" w:eastAsia="Calibri" w:hAnsi="ENRESA Aroma Light"/>
                <w:b/>
                <w:sz w:val="18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14:paraId="36EA0F19" w14:textId="77777777" w:rsidR="007D6358" w:rsidRPr="007C2CB4" w:rsidRDefault="007D6358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sz w:val="18"/>
              </w:rPr>
            </w:pPr>
          </w:p>
        </w:tc>
        <w:tc>
          <w:tcPr>
            <w:tcW w:w="1508" w:type="dxa"/>
            <w:tcBorders>
              <w:left w:val="nil"/>
            </w:tcBorders>
            <w:vAlign w:val="center"/>
          </w:tcPr>
          <w:p w14:paraId="4C520241" w14:textId="77777777" w:rsidR="007D6358" w:rsidRPr="007C2CB4" w:rsidRDefault="007D6358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sz w:val="18"/>
              </w:rPr>
            </w:pPr>
          </w:p>
        </w:tc>
      </w:tr>
      <w:tr w:rsidR="007D6358" w:rsidRPr="007C2CB4" w14:paraId="52AA63C5" w14:textId="77777777" w:rsidTr="005C68E6">
        <w:trPr>
          <w:trHeight w:val="425"/>
          <w:tblHeader/>
          <w:jc w:val="center"/>
        </w:trPr>
        <w:tc>
          <w:tcPr>
            <w:tcW w:w="6804" w:type="dxa"/>
            <w:tcBorders>
              <w:bottom w:val="single" w:sz="4" w:space="0" w:color="auto"/>
            </w:tcBorders>
            <w:noWrap/>
            <w:vAlign w:val="center"/>
          </w:tcPr>
          <w:p w14:paraId="44A5C946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7C2CB4">
              <w:rPr>
                <w:rFonts w:ascii="ENRESA Aroma Light" w:hAnsi="ENRESA Aroma Light"/>
                <w:sz w:val="16"/>
                <w:szCs w:val="16"/>
              </w:rPr>
              <w:t>Límite máximo de indemnización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7276D0E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7C2CB4">
              <w:rPr>
                <w:rFonts w:ascii="ENRESA Aroma Light" w:hAnsi="ENRESA Aroma Light"/>
                <w:sz w:val="16"/>
                <w:szCs w:val="16"/>
              </w:rPr>
              <w:t>1</w:t>
            </w:r>
            <w:r>
              <w:rPr>
                <w:rFonts w:ascii="ENRESA Aroma Light" w:hAnsi="ENRESA Aroma Light"/>
                <w:sz w:val="16"/>
                <w:szCs w:val="16"/>
              </w:rPr>
              <w:t>3</w:t>
            </w:r>
            <w:r w:rsidRPr="007C2CB4">
              <w:rPr>
                <w:rFonts w:ascii="ENRESA Aroma Light" w:hAnsi="ENRESA Aroma Light"/>
                <w:sz w:val="16"/>
                <w:szCs w:val="16"/>
              </w:rPr>
              <w:t>.</w:t>
            </w:r>
            <w:r>
              <w:rPr>
                <w:rFonts w:ascii="ENRESA Aroma Light" w:hAnsi="ENRESA Aroma Light"/>
                <w:sz w:val="16"/>
                <w:szCs w:val="16"/>
              </w:rPr>
              <w:t>5</w:t>
            </w:r>
            <w:r w:rsidRPr="007C2CB4">
              <w:rPr>
                <w:rFonts w:ascii="ENRESA Aroma Light" w:hAnsi="ENRESA Aroma Light"/>
                <w:sz w:val="16"/>
                <w:szCs w:val="16"/>
              </w:rPr>
              <w:t>00.000,00 €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2E8F833C" w14:textId="77777777" w:rsidR="007D6358" w:rsidRPr="007C2CB4" w:rsidRDefault="007D6358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847354560" w:edGrp="everyone"/>
            <w:permEnd w:id="1847354560"/>
          </w:p>
        </w:tc>
      </w:tr>
      <w:tr w:rsidR="007D6358" w:rsidRPr="007C2CB4" w14:paraId="10104F63" w14:textId="77777777" w:rsidTr="006D2717">
        <w:trPr>
          <w:trHeight w:val="371"/>
          <w:tblHeader/>
          <w:jc w:val="center"/>
        </w:trPr>
        <w:tc>
          <w:tcPr>
            <w:tcW w:w="6804" w:type="dxa"/>
            <w:noWrap/>
            <w:vAlign w:val="center"/>
          </w:tcPr>
          <w:p w14:paraId="6DC267A3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7C2CB4">
              <w:rPr>
                <w:rFonts w:ascii="ENRESA Aroma Light" w:hAnsi="ENRESA Aroma Light"/>
                <w:sz w:val="16"/>
                <w:szCs w:val="16"/>
              </w:rPr>
              <w:t>GARANTÍAS SUBLÍMITES (que no incrementan el límite máximo de indemnización</w:t>
            </w:r>
            <w:r>
              <w:rPr>
                <w:rFonts w:ascii="ENRESA Aroma Light" w:hAnsi="ENRESA Aroma Light"/>
                <w:sz w:val="16"/>
                <w:szCs w:val="16"/>
              </w:rPr>
              <w:t>)</w:t>
            </w:r>
          </w:p>
        </w:tc>
        <w:tc>
          <w:tcPr>
            <w:tcW w:w="2926" w:type="dxa"/>
            <w:gridSpan w:val="2"/>
            <w:vAlign w:val="center"/>
          </w:tcPr>
          <w:p w14:paraId="560EC7B5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</w:p>
        </w:tc>
      </w:tr>
      <w:tr w:rsidR="007D6358" w:rsidRPr="007C2CB4" w14:paraId="22AE9BEE" w14:textId="77777777" w:rsidTr="005C68E6">
        <w:trPr>
          <w:trHeight w:val="317"/>
          <w:tblHeader/>
          <w:jc w:val="center"/>
        </w:trPr>
        <w:tc>
          <w:tcPr>
            <w:tcW w:w="6804" w:type="dxa"/>
            <w:noWrap/>
          </w:tcPr>
          <w:p w14:paraId="5CC23A44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Incremento del sublímite por Avería de equipos eléctricos</w:t>
            </w:r>
          </w:p>
        </w:tc>
        <w:tc>
          <w:tcPr>
            <w:tcW w:w="1418" w:type="dxa"/>
          </w:tcPr>
          <w:p w14:paraId="2242307A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>
              <w:rPr>
                <w:rFonts w:ascii="ENRESA Aroma Light" w:hAnsi="ENRESA Aroma Light"/>
                <w:sz w:val="16"/>
                <w:szCs w:val="16"/>
              </w:rPr>
              <w:t>30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0.000, 00 €</w:t>
            </w:r>
          </w:p>
        </w:tc>
        <w:tc>
          <w:tcPr>
            <w:tcW w:w="1508" w:type="dxa"/>
            <w:vAlign w:val="center"/>
          </w:tcPr>
          <w:p w14:paraId="604A6FC4" w14:textId="77777777" w:rsidR="007D6358" w:rsidRPr="007C2CB4" w:rsidRDefault="007D6358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464350535" w:edGrp="everyone"/>
            <w:permEnd w:id="464350535"/>
          </w:p>
        </w:tc>
      </w:tr>
      <w:tr w:rsidR="007D6358" w:rsidRPr="007C2CB4" w14:paraId="373F6AE8" w14:textId="77777777" w:rsidTr="005C68E6">
        <w:trPr>
          <w:trHeight w:val="285"/>
          <w:tblHeader/>
          <w:jc w:val="center"/>
        </w:trPr>
        <w:tc>
          <w:tcPr>
            <w:tcW w:w="6804" w:type="dxa"/>
            <w:noWrap/>
          </w:tcPr>
          <w:p w14:paraId="1FA0B841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Incremento del sublímite por Bienes temporalmente desplazados</w:t>
            </w:r>
          </w:p>
        </w:tc>
        <w:tc>
          <w:tcPr>
            <w:tcW w:w="1418" w:type="dxa"/>
          </w:tcPr>
          <w:p w14:paraId="73C95154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2</w:t>
            </w:r>
            <w:r>
              <w:rPr>
                <w:rFonts w:ascii="ENRESA Aroma Light" w:hAnsi="ENRESA Aroma Light"/>
                <w:sz w:val="16"/>
                <w:szCs w:val="16"/>
              </w:rPr>
              <w:t>5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0.000, 00 €</w:t>
            </w:r>
          </w:p>
        </w:tc>
        <w:tc>
          <w:tcPr>
            <w:tcW w:w="1508" w:type="dxa"/>
            <w:vAlign w:val="center"/>
          </w:tcPr>
          <w:p w14:paraId="0D41FACE" w14:textId="77777777" w:rsidR="007D6358" w:rsidRPr="007C2CB4" w:rsidRDefault="007D6358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029075840" w:edGrp="everyone"/>
            <w:permEnd w:id="1029075840"/>
          </w:p>
        </w:tc>
      </w:tr>
      <w:tr w:rsidR="007D6358" w:rsidRPr="007C2CB4" w14:paraId="35BB6C7C" w14:textId="77777777" w:rsidTr="005C68E6">
        <w:trPr>
          <w:trHeight w:val="352"/>
          <w:tblHeader/>
          <w:jc w:val="center"/>
        </w:trPr>
        <w:tc>
          <w:tcPr>
            <w:tcW w:w="6804" w:type="dxa"/>
            <w:noWrap/>
          </w:tcPr>
          <w:p w14:paraId="16F5175B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Incremento del sublímite por Archivos, moldes, modelos y matrices</w:t>
            </w:r>
          </w:p>
        </w:tc>
        <w:tc>
          <w:tcPr>
            <w:tcW w:w="1418" w:type="dxa"/>
          </w:tcPr>
          <w:p w14:paraId="538DC610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>
              <w:rPr>
                <w:rFonts w:ascii="ENRESA Aroma Light" w:hAnsi="ENRESA Aroma Light"/>
                <w:sz w:val="16"/>
                <w:szCs w:val="16"/>
              </w:rPr>
              <w:t>30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0.000, 00 €</w:t>
            </w:r>
          </w:p>
        </w:tc>
        <w:tc>
          <w:tcPr>
            <w:tcW w:w="1508" w:type="dxa"/>
            <w:vAlign w:val="center"/>
          </w:tcPr>
          <w:p w14:paraId="00F44303" w14:textId="77777777" w:rsidR="007D6358" w:rsidRPr="007C2CB4" w:rsidRDefault="007D6358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093095904" w:edGrp="everyone"/>
            <w:permEnd w:id="1093095904"/>
          </w:p>
        </w:tc>
      </w:tr>
      <w:tr w:rsidR="007D6358" w:rsidRPr="007C2CB4" w14:paraId="016661F6" w14:textId="77777777" w:rsidTr="005C68E6">
        <w:trPr>
          <w:trHeight w:val="297"/>
          <w:tblHeader/>
          <w:jc w:val="center"/>
        </w:trPr>
        <w:tc>
          <w:tcPr>
            <w:tcW w:w="6804" w:type="dxa"/>
            <w:noWrap/>
          </w:tcPr>
          <w:p w14:paraId="723D92D5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Incremento del sublímite por Bienes propiedad de terceras personas</w:t>
            </w:r>
          </w:p>
        </w:tc>
        <w:tc>
          <w:tcPr>
            <w:tcW w:w="1418" w:type="dxa"/>
            <w:vAlign w:val="center"/>
          </w:tcPr>
          <w:p w14:paraId="3F36ED1D" w14:textId="77777777" w:rsidR="007D6358" w:rsidRPr="007C2CB4" w:rsidRDefault="007D6358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5</w:t>
            </w:r>
            <w:r>
              <w:rPr>
                <w:rFonts w:ascii="ENRESA Aroma Light" w:hAnsi="ENRESA Aroma Light"/>
                <w:sz w:val="16"/>
                <w:szCs w:val="16"/>
              </w:rPr>
              <w:t>25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.000, 00 €</w:t>
            </w:r>
          </w:p>
        </w:tc>
        <w:tc>
          <w:tcPr>
            <w:tcW w:w="1508" w:type="dxa"/>
            <w:vAlign w:val="center"/>
          </w:tcPr>
          <w:p w14:paraId="39335591" w14:textId="77777777" w:rsidR="007D6358" w:rsidRPr="007C2CB4" w:rsidRDefault="007D6358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453731074" w:edGrp="everyone"/>
            <w:permEnd w:id="1453731074"/>
          </w:p>
        </w:tc>
      </w:tr>
    </w:tbl>
    <w:p w14:paraId="4076E92C" w14:textId="77777777" w:rsidR="00367387" w:rsidRDefault="00367387" w:rsidP="00367387">
      <w:pPr>
        <w:spacing w:after="0"/>
        <w:rPr>
          <w:b/>
          <w:bCs/>
          <w:sz w:val="20"/>
        </w:rPr>
      </w:pPr>
    </w:p>
    <w:p w14:paraId="524A89CE" w14:textId="21908624" w:rsidR="00367387" w:rsidRPr="00E077E4" w:rsidRDefault="00367387" w:rsidP="00367387">
      <w:pPr>
        <w:spacing w:after="0"/>
        <w:rPr>
          <w:b/>
          <w:bCs/>
          <w:vanish/>
          <w:sz w:val="20"/>
        </w:rPr>
      </w:pPr>
      <w:r w:rsidRPr="00231C84">
        <w:rPr>
          <w:b/>
          <w:bCs/>
          <w:sz w:val="20"/>
        </w:rPr>
        <w:t>*En esta columna se incluirá el importe de incremento</w:t>
      </w:r>
      <w:r>
        <w:rPr>
          <w:b/>
          <w:bCs/>
          <w:sz w:val="20"/>
        </w:rPr>
        <w:t>,</w:t>
      </w:r>
      <w:r w:rsidRPr="00231C84">
        <w:rPr>
          <w:b/>
          <w:bCs/>
          <w:sz w:val="20"/>
        </w:rPr>
        <w:t xml:space="preserve"> NO la suma del Importe establecido + el incremento</w:t>
      </w:r>
      <w:r>
        <w:rPr>
          <w:b/>
          <w:bCs/>
          <w:sz w:val="20"/>
        </w:rPr>
        <w:t>.</w:t>
      </w:r>
    </w:p>
    <w:p w14:paraId="10959475" w14:textId="77777777" w:rsidR="00367387" w:rsidRPr="00E077E4" w:rsidRDefault="00367387" w:rsidP="00367387">
      <w:pPr>
        <w:spacing w:after="160" w:line="259" w:lineRule="auto"/>
        <w:jc w:val="left"/>
        <w:rPr>
          <w:b/>
          <w:bCs/>
          <w:sz w:val="20"/>
        </w:rPr>
      </w:pP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4"/>
        <w:gridCol w:w="1423"/>
        <w:gridCol w:w="1782"/>
      </w:tblGrid>
      <w:tr w:rsidR="00A12DBC" w:rsidRPr="00494121" w14:paraId="4CC7740E" w14:textId="77777777" w:rsidTr="00A12DBC">
        <w:trPr>
          <w:trHeight w:val="419"/>
          <w:tblHeader/>
          <w:jc w:val="center"/>
        </w:trPr>
        <w:tc>
          <w:tcPr>
            <w:tcW w:w="6454" w:type="dxa"/>
            <w:tcBorders>
              <w:bottom w:val="single" w:sz="4" w:space="0" w:color="auto"/>
            </w:tcBorders>
            <w:noWrap/>
            <w:vAlign w:val="center"/>
          </w:tcPr>
          <w:p w14:paraId="027E13DE" w14:textId="77777777" w:rsidR="00A12DBC" w:rsidRPr="00494121" w:rsidRDefault="00A12DBC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>
              <w:rPr>
                <w:rFonts w:ascii="ENRESA Aroma Light" w:eastAsia="Calibri" w:hAnsi="ENRESA Aroma Light"/>
                <w:b/>
                <w:bCs/>
                <w:sz w:val="18"/>
              </w:rPr>
              <w:t>Descripción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39CCCEA4" w14:textId="77777777" w:rsidR="00A12DBC" w:rsidRPr="00494121" w:rsidRDefault="00A12DBC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>
              <w:rPr>
                <w:rFonts w:ascii="ENRESA Aroma Light" w:eastAsia="Calibri" w:hAnsi="ENRESA Aroma Light"/>
                <w:b/>
                <w:bCs/>
                <w:sz w:val="18"/>
              </w:rPr>
              <w:t>Importe</w:t>
            </w:r>
            <w:r w:rsidRPr="00494121">
              <w:rPr>
                <w:rFonts w:ascii="ENRESA Aroma Light" w:eastAsia="Calibri" w:hAnsi="ENRESA Aroma Light"/>
                <w:b/>
                <w:bCs/>
                <w:sz w:val="18"/>
              </w:rPr>
              <w:t xml:space="preserve"> establecido</w:t>
            </w:r>
            <w:r>
              <w:rPr>
                <w:rFonts w:ascii="ENRESA Aroma Light" w:eastAsia="Calibri" w:hAnsi="ENRESA Aroma Light"/>
                <w:b/>
                <w:bCs/>
                <w:sz w:val="18"/>
              </w:rPr>
              <w:t xml:space="preserve"> (€)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01203CC1" w14:textId="77777777" w:rsidR="00A12DBC" w:rsidRPr="00494121" w:rsidRDefault="00A12DBC" w:rsidP="006D271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18"/>
              </w:rPr>
            </w:pPr>
            <w:r>
              <w:rPr>
                <w:rFonts w:ascii="ENRESA Aroma Light" w:eastAsia="Calibri" w:hAnsi="ENRESA Aroma Light"/>
                <w:b/>
                <w:bCs/>
                <w:sz w:val="18"/>
              </w:rPr>
              <w:t>Reducción de las franquicias previstas en el PPT (€)</w:t>
            </w:r>
            <w:r w:rsidRPr="00231C84">
              <w:rPr>
                <w:rFonts w:ascii="ENRESA Aroma Light" w:eastAsia="Calibri" w:hAnsi="ENRESA Aroma Light"/>
                <w:b/>
                <w:bCs/>
                <w:sz w:val="18"/>
              </w:rPr>
              <w:t xml:space="preserve"> **</w:t>
            </w:r>
          </w:p>
        </w:tc>
      </w:tr>
    </w:tbl>
    <w:p w14:paraId="1ABC22EB" w14:textId="77777777" w:rsidR="00A12DBC" w:rsidRPr="00AC5CE3" w:rsidRDefault="00A12DBC" w:rsidP="00A12DBC">
      <w:pPr>
        <w:spacing w:after="0"/>
        <w:rPr>
          <w:vanish/>
        </w:rPr>
      </w:pP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3"/>
        <w:gridCol w:w="1400"/>
        <w:gridCol w:w="1792"/>
      </w:tblGrid>
      <w:tr w:rsidR="00A12DBC" w:rsidRPr="007C2CB4" w14:paraId="4A5EEB40" w14:textId="77777777" w:rsidTr="005C68E6">
        <w:tc>
          <w:tcPr>
            <w:tcW w:w="6453" w:type="dxa"/>
          </w:tcPr>
          <w:p w14:paraId="3E944A8B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DB0F28">
              <w:rPr>
                <w:rFonts w:ascii="ENRESA Aroma Light" w:hAnsi="ENRESA Aroma Light"/>
                <w:sz w:val="16"/>
                <w:szCs w:val="16"/>
                <w:lang w:val="es-ES"/>
              </w:rPr>
              <w:t>Reducción de la franquicia con carácter general por siniestro acaecido en la sede social de Enresa o en las Naves de Alcalá</w:t>
            </w:r>
          </w:p>
        </w:tc>
        <w:tc>
          <w:tcPr>
            <w:tcW w:w="1400" w:type="dxa"/>
            <w:vAlign w:val="center"/>
          </w:tcPr>
          <w:p w14:paraId="59FC80AD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1.</w:t>
            </w:r>
            <w:r>
              <w:rPr>
                <w:rFonts w:ascii="ENRESA Aroma Light" w:hAnsi="ENRESA Aroma Light"/>
                <w:sz w:val="16"/>
                <w:szCs w:val="16"/>
              </w:rPr>
              <w:t>0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00,00 €</w:t>
            </w:r>
          </w:p>
        </w:tc>
        <w:tc>
          <w:tcPr>
            <w:tcW w:w="1792" w:type="dxa"/>
            <w:vAlign w:val="center"/>
          </w:tcPr>
          <w:p w14:paraId="46E13FF1" w14:textId="77777777" w:rsidR="00A12DBC" w:rsidRPr="009C4687" w:rsidRDefault="00A12DBC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923373001" w:edGrp="everyone"/>
            <w:permEnd w:id="1923373001"/>
          </w:p>
        </w:tc>
      </w:tr>
      <w:tr w:rsidR="00A12DBC" w:rsidRPr="007C2CB4" w14:paraId="3380205D" w14:textId="77777777" w:rsidTr="005C68E6">
        <w:tc>
          <w:tcPr>
            <w:tcW w:w="6453" w:type="dxa"/>
          </w:tcPr>
          <w:p w14:paraId="3673C2E7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DB0F28">
              <w:rPr>
                <w:rFonts w:ascii="ENRESA Aroma Light" w:hAnsi="ENRESA Aroma Light"/>
                <w:sz w:val="16"/>
                <w:szCs w:val="16"/>
                <w:lang w:val="es-ES"/>
              </w:rPr>
              <w:t>Reducción de la franquicia con carácter general por siniestro acaecido en el inmueble Oficina Córdoba, sita en c/ Antonio Gaudí 4, Local Comercial, CÓRDOBA.</w:t>
            </w:r>
          </w:p>
        </w:tc>
        <w:tc>
          <w:tcPr>
            <w:tcW w:w="1400" w:type="dxa"/>
            <w:vAlign w:val="center"/>
          </w:tcPr>
          <w:p w14:paraId="1208EACB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>
              <w:rPr>
                <w:rFonts w:ascii="ENRESA Aroma Light" w:hAnsi="ENRESA Aroma Light"/>
                <w:sz w:val="16"/>
                <w:szCs w:val="16"/>
              </w:rPr>
              <w:t>1.0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00,00 €</w:t>
            </w:r>
          </w:p>
        </w:tc>
        <w:tc>
          <w:tcPr>
            <w:tcW w:w="1792" w:type="dxa"/>
            <w:vAlign w:val="center"/>
          </w:tcPr>
          <w:p w14:paraId="7B241D2C" w14:textId="77777777" w:rsidR="00A12DBC" w:rsidRPr="009C4687" w:rsidRDefault="00A12DBC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983859119" w:edGrp="everyone"/>
            <w:permEnd w:id="1983859119"/>
          </w:p>
        </w:tc>
      </w:tr>
      <w:tr w:rsidR="00A12DBC" w:rsidRPr="007C2CB4" w14:paraId="2E6075D4" w14:textId="77777777" w:rsidTr="005C68E6">
        <w:tc>
          <w:tcPr>
            <w:tcW w:w="6453" w:type="dxa"/>
          </w:tcPr>
          <w:p w14:paraId="55666188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Reducción de la franquicia por daños en equipos electrónicos</w:t>
            </w:r>
          </w:p>
        </w:tc>
        <w:tc>
          <w:tcPr>
            <w:tcW w:w="1400" w:type="dxa"/>
            <w:vAlign w:val="center"/>
          </w:tcPr>
          <w:p w14:paraId="53B87EC3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>
              <w:rPr>
                <w:rFonts w:ascii="ENRESA Aroma Light" w:hAnsi="ENRESA Aroma Light"/>
                <w:sz w:val="16"/>
                <w:szCs w:val="16"/>
              </w:rPr>
              <w:t>35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0,00 €</w:t>
            </w:r>
          </w:p>
        </w:tc>
        <w:tc>
          <w:tcPr>
            <w:tcW w:w="1792" w:type="dxa"/>
            <w:vAlign w:val="center"/>
          </w:tcPr>
          <w:p w14:paraId="67E3EF4E" w14:textId="77777777" w:rsidR="00A12DBC" w:rsidRPr="009C4687" w:rsidRDefault="00A12DBC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731325563" w:edGrp="everyone"/>
            <w:permEnd w:id="731325563"/>
          </w:p>
        </w:tc>
      </w:tr>
      <w:tr w:rsidR="00A12DBC" w:rsidRPr="007C2CB4" w14:paraId="3B5243D7" w14:textId="77777777" w:rsidTr="005C68E6">
        <w:tc>
          <w:tcPr>
            <w:tcW w:w="6453" w:type="dxa"/>
          </w:tcPr>
          <w:p w14:paraId="45950E79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lef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 w:rsidRPr="009C4687">
              <w:rPr>
                <w:rFonts w:ascii="ENRESA Aroma Light" w:hAnsi="ENRESA Aroma Light"/>
                <w:sz w:val="16"/>
                <w:szCs w:val="16"/>
              </w:rPr>
              <w:t>Reducción de la franquicia por robos</w:t>
            </w:r>
          </w:p>
        </w:tc>
        <w:tc>
          <w:tcPr>
            <w:tcW w:w="1400" w:type="dxa"/>
            <w:vAlign w:val="center"/>
          </w:tcPr>
          <w:p w14:paraId="0259043D" w14:textId="77777777" w:rsidR="00A12DBC" w:rsidRPr="009C4687" w:rsidRDefault="00A12DBC" w:rsidP="006D2717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right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r>
              <w:rPr>
                <w:rFonts w:ascii="ENRESA Aroma Light" w:hAnsi="ENRESA Aroma Light"/>
                <w:sz w:val="16"/>
                <w:szCs w:val="16"/>
              </w:rPr>
              <w:t>35</w:t>
            </w:r>
            <w:r w:rsidRPr="009C4687">
              <w:rPr>
                <w:rFonts w:ascii="ENRESA Aroma Light" w:hAnsi="ENRESA Aroma Light"/>
                <w:sz w:val="16"/>
                <w:szCs w:val="16"/>
              </w:rPr>
              <w:t>0,00 €</w:t>
            </w:r>
          </w:p>
        </w:tc>
        <w:tc>
          <w:tcPr>
            <w:tcW w:w="1792" w:type="dxa"/>
            <w:vAlign w:val="center"/>
          </w:tcPr>
          <w:p w14:paraId="2C044831" w14:textId="77777777" w:rsidR="00A12DBC" w:rsidRPr="009C4687" w:rsidRDefault="00A12DBC" w:rsidP="005C68E6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 w:line="360" w:lineRule="auto"/>
              <w:ind w:left="360" w:hanging="360"/>
              <w:jc w:val="center"/>
              <w:outlineLvl w:val="0"/>
              <w:rPr>
                <w:rFonts w:ascii="ENRESA Aroma Light" w:hAnsi="ENRESA Aroma Light"/>
                <w:sz w:val="16"/>
                <w:szCs w:val="16"/>
              </w:rPr>
            </w:pPr>
            <w:permStart w:id="1132887136" w:edGrp="everyone"/>
            <w:permEnd w:id="1132887136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AF16739" w14:textId="77777777" w:rsidR="005C68E6" w:rsidRPr="00E077E4" w:rsidRDefault="005C68E6" w:rsidP="005C68E6">
      <w:pPr>
        <w:spacing w:after="0"/>
        <w:rPr>
          <w:b/>
          <w:bCs/>
          <w:vanish/>
          <w:sz w:val="20"/>
        </w:rPr>
      </w:pPr>
      <w:r w:rsidRPr="00231C84">
        <w:rPr>
          <w:b/>
          <w:bCs/>
          <w:sz w:val="20"/>
        </w:rPr>
        <w:t>**En esta columna se incluirá el importe de reducción de la franquicia</w:t>
      </w:r>
      <w:r>
        <w:rPr>
          <w:b/>
          <w:bCs/>
          <w:sz w:val="20"/>
        </w:rPr>
        <w:t>,</w:t>
      </w:r>
      <w:r w:rsidRPr="00231C84">
        <w:rPr>
          <w:b/>
          <w:bCs/>
          <w:sz w:val="20"/>
        </w:rPr>
        <w:t xml:space="preserve"> NO la resta del Importe establecido – la reducción</w:t>
      </w:r>
      <w:r>
        <w:rPr>
          <w:b/>
          <w:bCs/>
          <w:sz w:val="20"/>
        </w:rPr>
        <w:t>.</w:t>
      </w:r>
    </w:p>
    <w:p w14:paraId="0A11C057" w14:textId="77777777" w:rsidR="005C68E6" w:rsidRPr="008F100D" w:rsidRDefault="005C68E6" w:rsidP="005C68E6">
      <w:pPr>
        <w:shd w:val="clear" w:color="auto" w:fill="FFFFFF"/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6A875" w14:textId="77777777" w:rsidR="00F064B7" w:rsidRDefault="00F064B7">
      <w:r>
        <w:separator/>
      </w:r>
    </w:p>
  </w:endnote>
  <w:endnote w:type="continuationSeparator" w:id="0">
    <w:p w14:paraId="1965EF5B" w14:textId="77777777" w:rsidR="00F064B7" w:rsidRDefault="00F064B7">
      <w:r>
        <w:continuationSeparator/>
      </w:r>
    </w:p>
  </w:endnote>
  <w:endnote w:type="continuationNotice" w:id="1">
    <w:p w14:paraId="61A72AC8" w14:textId="77777777" w:rsidR="00F064B7" w:rsidRDefault="00F064B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01F36AE-567B-42AC-9DF9-9713230C8CB0}"/>
    <w:embedBold r:id="rId2" w:fontKey="{25050AE2-A370-4FFF-B697-74C096F2DA4A}"/>
    <w:embedItalic r:id="rId3" w:fontKey="{E9DF7AB5-5D05-4A14-A0A2-0DD34ED1B2B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6A5F60D-3A29-46A4-9AAF-6455F30EE876}"/>
    <w:embedBold r:id="rId5" w:fontKey="{1D34BF13-E4DE-4F38-A5D0-C46081F86A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89ACEA83-9D63-45A2-B004-46D2A2CB8D5D}"/>
    <w:embedBold r:id="rId7" w:fontKey="{14F727F2-5136-49E8-8F54-EB3DF6EF009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8E44B123-1CE8-4006-A1EB-EE624AEBC40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6FB4871F-D52B-48C2-9C90-C4485E212FF2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994FA4D4-5014-42CF-99FA-3F861F56290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B8D57E8C-F0C7-43DE-A02F-9B30AB1FCF6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B418F" w14:textId="77777777" w:rsidR="00F064B7" w:rsidRDefault="00F064B7">
      <w:r>
        <w:separator/>
      </w:r>
    </w:p>
  </w:footnote>
  <w:footnote w:type="continuationSeparator" w:id="0">
    <w:p w14:paraId="4E42125F" w14:textId="77777777" w:rsidR="00F064B7" w:rsidRDefault="00F064B7">
      <w:r>
        <w:continuationSeparator/>
      </w:r>
    </w:p>
  </w:footnote>
  <w:footnote w:type="continuationNotice" w:id="1">
    <w:p w14:paraId="1E5445E8" w14:textId="77777777" w:rsidR="00F064B7" w:rsidRDefault="00F064B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129DC543" w:rsidR="0000153C" w:rsidRPr="00B04615" w:rsidRDefault="00D93C05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93C05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una póliza de seguro de daños materiales de Enresa (excluido el riesgo nuclear)</w:t>
          </w:r>
        </w:p>
      </w:tc>
      <w:tc>
        <w:tcPr>
          <w:tcW w:w="2552" w:type="dxa"/>
          <w:vAlign w:val="center"/>
        </w:tcPr>
        <w:p w14:paraId="1404EA8C" w14:textId="51DF0BDE" w:rsidR="0000153C" w:rsidRPr="00360F17" w:rsidRDefault="00D60A91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60A91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CO-SV-26-016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kpTKNNxQITptL2fVbz4Pj1/DTM0c5fpjka1n3PecDl4oZDulLvyX3KePknjAhtQ61GQW9EGySr3LDYoparwuQ==" w:salt="51mW/6DQ9lWQNd0+BjZwQ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387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7BF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8E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4A2D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358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37CA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2DB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6D0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0A91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3C05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4B7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234E53-DD10-4EC0-91DC-2D538BACE348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287</Words>
  <Characters>1579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2022-11-30T10:28:00Z</cp:lastPrinted>
  <dcterms:created xsi:type="dcterms:W3CDTF">2025-11-17T12:19:00Z</dcterms:created>
  <dcterms:modified xsi:type="dcterms:W3CDTF">2026-07-28T08:33:00Z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